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jc w:val="center"/>
        <w:rPr>
          <w:rFonts w:ascii="Poppins" w:cs="Poppins" w:eastAsia="Poppins" w:hAnsi="Poppins"/>
          <w:b w:val="1"/>
        </w:rPr>
      </w:pPr>
      <w:bookmarkStart w:colFirst="0" w:colLast="0" w:name="_mvw4hhfeuyau" w:id="0"/>
      <w:bookmarkEnd w:id="0"/>
      <w:r w:rsidDel="00000000" w:rsidR="00000000" w:rsidRPr="00000000">
        <w:rPr>
          <w:rFonts w:ascii="Poppins" w:cs="Poppins" w:eastAsia="Poppins" w:hAnsi="Poppins"/>
          <w:b w:val="1"/>
          <w:rtl w:val="0"/>
        </w:rPr>
        <w:t xml:space="preserve">Allegato B - Istanza di Manifestazione di Interesse</w:t>
      </w:r>
    </w:p>
    <w:p w:rsidR="00000000" w:rsidDel="00000000" w:rsidP="00000000" w:rsidRDefault="00000000" w:rsidRPr="00000000" w14:paraId="00000002">
      <w:pPr>
        <w:spacing w:before="200" w:lineRule="auto"/>
        <w:rPr>
          <w:rFonts w:ascii="Poppins" w:cs="Poppins" w:eastAsia="Poppins" w:hAnsi="Poppins"/>
          <w:b w:val="1"/>
          <w:highlight w:val="yellow"/>
        </w:rPr>
      </w:pPr>
      <w:r w:rsidDel="00000000" w:rsidR="00000000" w:rsidRPr="00000000">
        <w:rPr>
          <w:rFonts w:ascii="Poppins" w:cs="Poppins" w:eastAsia="Poppins" w:hAnsi="Poppins"/>
          <w:b w:val="1"/>
          <w:rtl w:val="0"/>
        </w:rPr>
        <w:t xml:space="preserve">OGGETTO: Manifestazione di interesse a partecipare alla successiva procedura negoziata, ai sensi dell’art. 50 comma 1, lettera e), del D. Lgs n. 36/2023, per l’affidamento dei </w:t>
      </w:r>
      <w:r w:rsidDel="00000000" w:rsidR="00000000" w:rsidRPr="00000000">
        <w:rPr>
          <w:rFonts w:ascii="Poppins" w:cs="Poppins" w:eastAsia="Poppins" w:hAnsi="Poppins"/>
          <w:b w:val="1"/>
          <w:rtl w:val="0"/>
        </w:rPr>
        <w:t xml:space="preserve">Servizi per l’accollamento da parte di LepidaScpA delle commissioni relative a pagamenti pagoPA attraverso PayER e commissioni migliorative - RDOSA_2024-011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before="200" w:lineRule="auto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  <w:t xml:space="preserve">Il/La Sottoscritto/a</w:t>
      </w: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 ___________________________________________________________________</w:t>
      </w:r>
    </w:p>
    <w:p w:rsidR="00000000" w:rsidDel="00000000" w:rsidP="00000000" w:rsidRDefault="00000000" w:rsidRPr="00000000" w14:paraId="00000004">
      <w:pPr>
        <w:spacing w:before="200" w:lineRule="auto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  <w:t xml:space="preserve">nato/a a </w:t>
      </w: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_____________________________________</w:t>
      </w:r>
      <w:r w:rsidDel="00000000" w:rsidR="00000000" w:rsidRPr="00000000">
        <w:rPr>
          <w:rtl w:val="0"/>
        </w:rPr>
        <w:t xml:space="preserve"> (Prov. </w:t>
      </w: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____</w:t>
      </w:r>
      <w:r w:rsidDel="00000000" w:rsidR="00000000" w:rsidRPr="00000000">
        <w:rPr>
          <w:rtl w:val="0"/>
        </w:rPr>
        <w:t xml:space="preserve">) il </w:t>
      </w: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_____/_____/_</w:t>
      </w: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________</w:t>
      </w:r>
    </w:p>
    <w:p w:rsidR="00000000" w:rsidDel="00000000" w:rsidP="00000000" w:rsidRDefault="00000000" w:rsidRPr="00000000" w14:paraId="00000005">
      <w:pPr>
        <w:spacing w:before="200" w:lineRule="auto"/>
        <w:rPr/>
      </w:pPr>
      <w:r w:rsidDel="00000000" w:rsidR="00000000" w:rsidRPr="00000000">
        <w:rPr>
          <w:rtl w:val="0"/>
        </w:rPr>
        <w:t xml:space="preserve">residente a </w:t>
      </w: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___________________________________ </w:t>
      </w:r>
      <w:r w:rsidDel="00000000" w:rsidR="00000000" w:rsidRPr="00000000">
        <w:rPr>
          <w:rtl w:val="0"/>
        </w:rPr>
        <w:t xml:space="preserve">(Prov. </w:t>
      </w: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____</w:t>
      </w:r>
      <w:r w:rsidDel="00000000" w:rsidR="00000000" w:rsidRPr="00000000">
        <w:rPr>
          <w:rtl w:val="0"/>
        </w:rPr>
        <w:t xml:space="preserve">) </w:t>
      </w:r>
    </w:p>
    <w:p w:rsidR="00000000" w:rsidDel="00000000" w:rsidP="00000000" w:rsidRDefault="00000000" w:rsidRPr="00000000" w14:paraId="00000006">
      <w:pPr>
        <w:spacing w:before="200" w:lineRule="auto"/>
        <w:rPr>
          <w:sz w:val="24"/>
          <w:szCs w:val="24"/>
        </w:rPr>
      </w:pPr>
      <w:r w:rsidDel="00000000" w:rsidR="00000000" w:rsidRPr="00000000">
        <w:rPr>
          <w:rtl w:val="0"/>
        </w:rPr>
        <w:t xml:space="preserve">C.F. </w:t>
      </w: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________________________________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before="200" w:lineRule="auto"/>
        <w:rPr/>
      </w:pPr>
      <w:r w:rsidDel="00000000" w:rsidR="00000000" w:rsidRPr="00000000">
        <w:rPr>
          <w:rtl w:val="0"/>
        </w:rPr>
        <w:t xml:space="preserve">in qualità di </w:t>
      </w: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_________________________________</w:t>
      </w:r>
      <w:r w:rsidDel="00000000" w:rsidR="00000000" w:rsidRPr="00000000">
        <w:rPr>
          <w:rtl w:val="0"/>
        </w:rPr>
        <w:t xml:space="preserve"> della Società </w:t>
      </w: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before="200" w:lineRule="auto"/>
        <w:rPr/>
      </w:pPr>
      <w:r w:rsidDel="00000000" w:rsidR="00000000" w:rsidRPr="00000000">
        <w:rPr>
          <w:rtl w:val="0"/>
        </w:rPr>
        <w:t xml:space="preserve">con sede in </w:t>
      </w: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_________________________________ </w:t>
      </w:r>
      <w:r w:rsidDel="00000000" w:rsidR="00000000" w:rsidRPr="00000000">
        <w:rPr>
          <w:rtl w:val="0"/>
        </w:rPr>
        <w:t xml:space="preserve">(Prov. </w:t>
      </w: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____</w:t>
      </w:r>
      <w:r w:rsidDel="00000000" w:rsidR="00000000" w:rsidRPr="00000000">
        <w:rPr>
          <w:rtl w:val="0"/>
        </w:rPr>
        <w:t xml:space="preserve">)</w:t>
      </w:r>
    </w:p>
    <w:p w:rsidR="00000000" w:rsidDel="00000000" w:rsidP="00000000" w:rsidRDefault="00000000" w:rsidRPr="00000000" w14:paraId="00000009">
      <w:pPr>
        <w:spacing w:before="200" w:lineRule="auto"/>
        <w:rPr/>
      </w:pPr>
      <w:r w:rsidDel="00000000" w:rsidR="00000000" w:rsidRPr="00000000">
        <w:rPr>
          <w:rtl w:val="0"/>
        </w:rPr>
        <w:t xml:space="preserve">C.F./P.IVA </w:t>
      </w: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___________________________</w:t>
      </w:r>
      <w:r w:rsidDel="00000000" w:rsidR="00000000" w:rsidRPr="00000000">
        <w:rPr>
          <w:rtl w:val="0"/>
        </w:rPr>
        <w:t xml:space="preserve">, Indirizzo</w:t>
      </w: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 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before="200" w:lineRule="auto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PEC (Posta Elettronica Certificata): </w:t>
      </w: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40" w:lineRule="auto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br w:type="textWrapping"/>
        <w:t xml:space="preserve">consapevole della responsabilità penale in cui incorre chi sottoscrive dichiarazioni mendaci e delle relative sanzioni penali di cui all’art. 76 del D.P.R. 445/2000, nonché delle conseguenze amministrative di decadenza dai benefici eventualmente conseguiti al provvedimento emanato, ai sensi del D.P.R. 28/12/2000 n.445 </w:t>
      </w:r>
    </w:p>
    <w:p w:rsidR="00000000" w:rsidDel="00000000" w:rsidP="00000000" w:rsidRDefault="00000000" w:rsidRPr="00000000" w14:paraId="0000000C">
      <w:pPr>
        <w:spacing w:line="240" w:lineRule="auto"/>
        <w:jc w:val="center"/>
        <w:rPr>
          <w:rFonts w:ascii="Poppins" w:cs="Poppins" w:eastAsia="Poppins" w:hAnsi="Poppins"/>
          <w:b w:val="1"/>
        </w:rPr>
      </w:pPr>
      <w:r w:rsidDel="00000000" w:rsidR="00000000" w:rsidRPr="00000000">
        <w:rPr>
          <w:rFonts w:ascii="Poppins" w:cs="Poppins" w:eastAsia="Poppins" w:hAnsi="Poppins"/>
          <w:b w:val="1"/>
          <w:rtl w:val="0"/>
        </w:rPr>
        <w:t xml:space="preserve"> </w:t>
      </w:r>
    </w:p>
    <w:p w:rsidR="00000000" w:rsidDel="00000000" w:rsidP="00000000" w:rsidRDefault="00000000" w:rsidRPr="00000000" w14:paraId="0000000D">
      <w:pPr>
        <w:spacing w:line="240" w:lineRule="auto"/>
        <w:jc w:val="center"/>
        <w:rPr>
          <w:rFonts w:ascii="Poppins" w:cs="Poppins" w:eastAsia="Poppins" w:hAnsi="Poppins"/>
          <w:b w:val="1"/>
        </w:rPr>
      </w:pPr>
      <w:r w:rsidDel="00000000" w:rsidR="00000000" w:rsidRPr="00000000">
        <w:rPr>
          <w:rFonts w:ascii="Poppins" w:cs="Poppins" w:eastAsia="Poppins" w:hAnsi="Poppins"/>
          <w:b w:val="1"/>
          <w:rtl w:val="0"/>
        </w:rPr>
        <w:t xml:space="preserve">DICHIARA</w:t>
      </w:r>
    </w:p>
    <w:p w:rsidR="00000000" w:rsidDel="00000000" w:rsidP="00000000" w:rsidRDefault="00000000" w:rsidRPr="00000000" w14:paraId="0000000E">
      <w:pPr>
        <w:spacing w:line="240" w:lineRule="auto"/>
        <w:jc w:val="left"/>
        <w:rPr>
          <w:rFonts w:ascii="Poppins" w:cs="Poppins" w:eastAsia="Poppins" w:hAnsi="Poppi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line="240" w:lineRule="auto"/>
        <w:ind w:left="720" w:hanging="360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di essere interessato a partecipare alla successiva procedura negoziata ex art. 50 comma 1 lett e) del Dlgs 36/2023 "Codice appalti”,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per l’affidamento dei Servizi per l’accollamento da parte di LepidaScpA delle commissioni relative a pagamenti pagoPA attraverso PayER e commissioni migliorative 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RDOSA_ 2024-011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;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line="240" w:lineRule="auto"/>
        <w:ind w:left="720" w:hanging="360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di essere in possesso di tutti i requisiti di carattere generale e speciale indicati nell’ Avviso di Manifestazione di Interesse 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AVVSA_ 2024-011;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ind w:left="720" w:hanging="360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di essere iscritto al mercato elettronico di Intercent-ER alla categoria merceologica CPV ………………………………….;</w:t>
      </w:r>
    </w:p>
    <w:p w:rsidR="00000000" w:rsidDel="00000000" w:rsidP="00000000" w:rsidRDefault="00000000" w:rsidRPr="00000000" w14:paraId="00000012">
      <w:pPr>
        <w:widowControl w:val="0"/>
        <w:numPr>
          <w:ilvl w:val="0"/>
          <w:numId w:val="1"/>
        </w:numPr>
        <w:ind w:left="720" w:hanging="360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di essere a conoscenza che la presente dichiarazione non costituisce prova del possesso dei requisiti richiesti per l’affidamento 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del servizio 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che invece dovrà essere dichiarato dall’interessato ed accertato dalla Stazione Appaltante nei modi stabiliti dalla legge in occasione della procedura negoziata di affidamento. 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pacing w:line="240" w:lineRule="auto"/>
        <w:ind w:left="720" w:hanging="360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di essere a conoscenza che l’avviso, non costituisce avvio di una procedura di gara pubblica né proposta contrattuale e che la manifestazione di interesse ha l’unico scopo di comunicare a Lepida la disponibilità ad essere invitati a successiva procedura negoziata 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line="240" w:lineRule="auto"/>
        <w:ind w:left="720" w:hanging="360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di essere a conoscenza che LepidaScpA si riserva di interrompere, modificare o annullare,  in qualsiasi momento, per ragioni di sua esclusiva competenza, il procedimento avviato, senza che i soggetti richiedenti possano vantare alcuna pretesa.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spacing w:line="240" w:lineRule="auto"/>
        <w:ind w:left="720" w:hanging="360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di aver preso visione di quanto previsto nelle “Condizioni generali di contratto di LepidaScpA” pubblicate sul sito internet di LepidaScpA all’indirizzo </w:t>
      </w:r>
      <w:hyperlink r:id="rId6">
        <w:r w:rsidDel="00000000" w:rsidR="00000000" w:rsidRPr="00000000">
          <w:rPr>
            <w:rFonts w:ascii="Poppins" w:cs="Poppins" w:eastAsia="Poppins" w:hAnsi="Poppins"/>
            <w:color w:val="1155cc"/>
            <w:u w:val="single"/>
            <w:rtl w:val="0"/>
          </w:rPr>
          <w:t xml:space="preserve">https://www.lepida.net/bandi-gara-contratti</w:t>
        </w:r>
      </w:hyperlink>
      <w:r w:rsidDel="00000000" w:rsidR="00000000" w:rsidRPr="00000000">
        <w:rPr>
          <w:rFonts w:ascii="Poppins" w:cs="Poppins" w:eastAsia="Poppins" w:hAnsi="Poppins"/>
          <w:rtl w:val="0"/>
        </w:rPr>
        <w:t xml:space="preserve">. </w:t>
      </w:r>
    </w:p>
    <w:p w:rsidR="00000000" w:rsidDel="00000000" w:rsidP="00000000" w:rsidRDefault="00000000" w:rsidRPr="00000000" w14:paraId="00000016">
      <w:pPr>
        <w:spacing w:line="240" w:lineRule="auto"/>
        <w:ind w:left="720" w:firstLine="0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40" w:lineRule="auto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ind w:left="6377.952755905511" w:firstLine="0"/>
        <w:rPr>
          <w:rFonts w:ascii="Poppins" w:cs="Poppins" w:eastAsia="Poppins" w:hAnsi="Poppi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ind w:left="6377.952755905511" w:firstLine="0"/>
        <w:rPr>
          <w:rFonts w:ascii="Poppins" w:cs="Poppins" w:eastAsia="Poppins" w:hAnsi="Poppi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ind w:left="6377.952755905511" w:firstLine="0"/>
        <w:rPr>
          <w:rFonts w:ascii="Poppins" w:cs="Poppins" w:eastAsia="Poppins" w:hAnsi="Poppins"/>
          <w:sz w:val="22"/>
          <w:szCs w:val="22"/>
        </w:rPr>
      </w:pPr>
      <w:r w:rsidDel="00000000" w:rsidR="00000000" w:rsidRPr="00000000">
        <w:rPr>
          <w:rFonts w:ascii="Poppins" w:cs="Poppins" w:eastAsia="Poppins" w:hAnsi="Poppins"/>
          <w:sz w:val="22"/>
          <w:szCs w:val="22"/>
          <w:rtl w:val="0"/>
        </w:rPr>
        <w:t xml:space="preserve">Firma</w:t>
      </w:r>
    </w:p>
    <w:p w:rsidR="00000000" w:rsidDel="00000000" w:rsidP="00000000" w:rsidRDefault="00000000" w:rsidRPr="00000000" w14:paraId="0000001B">
      <w:pPr>
        <w:widowControl w:val="0"/>
        <w:ind w:left="4320" w:firstLine="0"/>
        <w:jc w:val="center"/>
        <w:rPr>
          <w:rFonts w:ascii="Proxima Nova" w:cs="Proxima Nova" w:eastAsia="Proxima Nova" w:hAnsi="Proxima Nova"/>
          <w:sz w:val="22"/>
          <w:szCs w:val="22"/>
        </w:rPr>
      </w:pPr>
      <w:r w:rsidDel="00000000" w:rsidR="00000000" w:rsidRPr="00000000">
        <w:rPr>
          <w:rFonts w:ascii="Proxima Nova" w:cs="Proxima Nova" w:eastAsia="Proxima Nova" w:hAnsi="Proxima Nova"/>
          <w:sz w:val="22"/>
          <w:szCs w:val="22"/>
          <w:rtl w:val="0"/>
        </w:rPr>
        <w:t xml:space="preserve">____________________________________</w:t>
      </w:r>
    </w:p>
    <w:p w:rsidR="00000000" w:rsidDel="00000000" w:rsidP="00000000" w:rsidRDefault="00000000" w:rsidRPr="00000000" w14:paraId="0000001C">
      <w:pPr>
        <w:widowControl w:val="0"/>
        <w:ind w:left="4320" w:firstLine="0"/>
        <w:jc w:val="center"/>
        <w:rPr>
          <w:rFonts w:ascii="Poppins" w:cs="Poppins" w:eastAsia="Poppins" w:hAnsi="Poppins"/>
          <w:i w:val="1"/>
        </w:rPr>
      </w:pPr>
      <w:r w:rsidDel="00000000" w:rsidR="00000000" w:rsidRPr="00000000">
        <w:rPr>
          <w:rFonts w:ascii="Poppins" w:cs="Poppins" w:eastAsia="Poppins" w:hAnsi="Poppins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Poppins" w:cs="Poppins" w:eastAsia="Poppins" w:hAnsi="Poppins"/>
          <w:i w:val="1"/>
          <w:rtl w:val="0"/>
        </w:rPr>
        <w:t xml:space="preserve">(firma in formato digitale)</w:t>
      </w:r>
    </w:p>
    <w:p w:rsidR="00000000" w:rsidDel="00000000" w:rsidP="00000000" w:rsidRDefault="00000000" w:rsidRPr="00000000" w14:paraId="0000001D">
      <w:pPr>
        <w:widowControl w:val="0"/>
        <w:ind w:left="4320" w:firstLine="0"/>
        <w:jc w:val="center"/>
        <w:rPr>
          <w:rFonts w:ascii="Poppins" w:cs="Poppins" w:eastAsia="Poppins" w:hAnsi="Poppins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0"/>
        <w:ind w:left="4320" w:firstLine="0"/>
        <w:jc w:val="center"/>
        <w:rPr>
          <w:rFonts w:ascii="Poppins" w:cs="Poppins" w:eastAsia="Poppins" w:hAnsi="Poppins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Poppins" w:cs="Poppins" w:eastAsia="Poppins" w:hAnsi="Poppi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Arial" w:cs="Arial" w:eastAsia="Arial" w:hAnsi="Arial"/>
          <w:color w:val="19191a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0" w:firstLine="0"/>
        <w:rPr>
          <w:rFonts w:ascii="Arial" w:cs="Arial" w:eastAsia="Arial" w:hAnsi="Arial"/>
          <w:color w:val="19191a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40" w:w="11900" w:orient="portrait"/>
      <w:pgMar w:bottom="1134" w:top="1417" w:left="1134" w:right="1134" w:header="850.3937007874016" w:footer="283.46456692913387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Ubuntu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roxima Nova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Poppi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Light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Poppins Medium">
    <w:embedRegular w:fontKey="{00000000-0000-0000-0000-000000000000}" r:id="rId17" w:subsetted="0"/>
    <w:embedBold w:fontKey="{00000000-0000-0000-0000-000000000000}" r:id="rId18" w:subsetted="0"/>
    <w:embedItalic w:fontKey="{00000000-0000-0000-0000-000000000000}" r:id="rId19" w:subsetted="0"/>
    <w:embedBoldItalic w:fontKey="{00000000-0000-0000-0000-000000000000}" r:id="rId2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9">
    <w:pPr>
      <w:spacing w:after="0" w:line="276" w:lineRule="auto"/>
      <w:ind w:left="-1133.8582677165355" w:firstLine="0"/>
      <w:jc w:val="left"/>
      <w:rPr>
        <w:rFonts w:ascii="Proxima Nova" w:cs="Proxima Nova" w:eastAsia="Proxima Nova" w:hAnsi="Proxima Nova"/>
        <w:color w:val="cccccc"/>
        <w:sz w:val="18"/>
        <w:szCs w:val="18"/>
      </w:rPr>
    </w:pPr>
    <w:r w:rsidDel="00000000" w:rsidR="00000000" w:rsidRPr="00000000">
      <w:rPr>
        <w:rtl w:val="0"/>
      </w:rPr>
    </w:r>
  </w:p>
  <w:tbl>
    <w:tblPr>
      <w:tblStyle w:val="Table1"/>
      <w:tblW w:w="9900.0" w:type="dxa"/>
      <w:jc w:val="left"/>
      <w:tblInd w:w="-173.8582677165354" w:type="dxa"/>
      <w:tblBorders>
        <w:top w:color="000000" w:space="0" w:sz="8" w:val="single"/>
        <w:left w:color="000000" w:space="0" w:sz="8" w:val="single"/>
        <w:bottom w:color="000000" w:space="0" w:sz="8" w:val="single"/>
        <w:right w:color="000000" w:space="0" w:sz="8" w:val="single"/>
        <w:insideH w:color="000000" w:space="0" w:sz="8" w:val="single"/>
        <w:insideV w:color="000000" w:space="0" w:sz="8" w:val="single"/>
      </w:tblBorders>
      <w:tblLayout w:type="fixed"/>
      <w:tblLook w:val="0600"/>
    </w:tblPr>
    <w:tblGrid>
      <w:gridCol w:w="1860"/>
      <w:gridCol w:w="3810"/>
      <w:gridCol w:w="4230"/>
      <w:tblGridChange w:id="0">
        <w:tblGrid>
          <w:gridCol w:w="1860"/>
          <w:gridCol w:w="3810"/>
          <w:gridCol w:w="4230"/>
        </w:tblGrid>
      </w:tblGridChange>
    </w:tblGrid>
    <w:tr>
      <w:trPr>
        <w:cantSplit w:val="0"/>
        <w:trHeight w:val="1020" w:hRule="atLeast"/>
        <w:tblHeader w:val="0"/>
      </w:trPr>
      <w:tc>
        <w:tcPr>
          <w:tcBorders>
            <w:top w:color="ffffff" w:space="0" w:sz="8" w:val="single"/>
            <w:left w:color="ffffff" w:space="0" w:sz="8" w:val="single"/>
            <w:bottom w:color="ffffff" w:space="0" w:sz="8" w:val="single"/>
            <w:right w:color="ffffff" w:space="0" w:sz="8" w:val="single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2A">
          <w:pPr>
            <w:widowControl w:val="0"/>
            <w:spacing w:after="0" w:line="240" w:lineRule="auto"/>
            <w:ind w:left="-425.1968503937008" w:firstLine="283.4645669291339"/>
            <w:jc w:val="left"/>
            <w:rPr>
              <w:rFonts w:ascii="Proxima Nova" w:cs="Proxima Nova" w:eastAsia="Proxima Nova" w:hAnsi="Proxima Nova"/>
              <w:color w:val="b7b7b7"/>
              <w:sz w:val="16"/>
              <w:szCs w:val="16"/>
            </w:rPr>
          </w:pPr>
          <w:r w:rsidDel="00000000" w:rsidR="00000000" w:rsidRPr="00000000">
            <w:rPr>
              <w:rFonts w:ascii="Poppins" w:cs="Poppins" w:eastAsia="Poppins" w:hAnsi="Poppins"/>
              <w:sz w:val="16"/>
              <w:szCs w:val="16"/>
              <w:rtl w:val="0"/>
            </w:rPr>
            <w:t xml:space="preserve">.</w:t>
          </w:r>
          <w:r w:rsidDel="00000000" w:rsidR="00000000" w:rsidRPr="00000000">
            <w:rPr>
              <w:rFonts w:ascii="Proxima Nova" w:cs="Proxima Nova" w:eastAsia="Proxima Nova" w:hAnsi="Proxima Nova"/>
              <w:color w:val="b7b7b7"/>
              <w:sz w:val="16"/>
              <w:szCs w:val="16"/>
            </w:rPr>
            <w:drawing>
              <wp:inline distB="114300" distT="114300" distL="114300" distR="114300">
                <wp:extent cx="620078" cy="620078"/>
                <wp:effectExtent b="0" l="0" r="0" t="0"/>
                <wp:docPr id="2" name="image2.jpg"/>
                <a:graphic>
                  <a:graphicData uri="http://schemas.openxmlformats.org/drawingml/2006/picture">
                    <pic:pic>
                      <pic:nvPicPr>
                        <pic:cNvPr id="0" name="image2.jp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0078" cy="620078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ffffff" w:space="0" w:sz="8" w:val="single"/>
            <w:left w:color="ffffff" w:space="0" w:sz="8" w:val="single"/>
            <w:bottom w:color="ffffff" w:space="0" w:sz="8" w:val="single"/>
            <w:right w:color="ffffff" w:space="0" w:sz="8" w:val="single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2B">
          <w:pPr>
            <w:widowControl w:val="0"/>
            <w:spacing w:after="0" w:line="276" w:lineRule="auto"/>
            <w:jc w:val="left"/>
            <w:rPr>
              <w:rFonts w:ascii="Proxima Nova" w:cs="Proxima Nova" w:eastAsia="Proxima Nova" w:hAnsi="Proxima Nova"/>
              <w:color w:val="b7b7b7"/>
              <w:sz w:val="14"/>
              <w:szCs w:val="14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C">
          <w:pPr>
            <w:widowControl w:val="0"/>
            <w:spacing w:after="0" w:line="276" w:lineRule="auto"/>
            <w:jc w:val="left"/>
            <w:rPr>
              <w:rFonts w:ascii="Poppins" w:cs="Poppins" w:eastAsia="Poppins" w:hAnsi="Poppins"/>
              <w:sz w:val="14"/>
              <w:szCs w:val="14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ffffff" w:space="0" w:sz="8" w:val="single"/>
            <w:left w:color="ffffff" w:space="0" w:sz="8" w:val="single"/>
            <w:bottom w:color="ffffff" w:space="0" w:sz="8" w:val="single"/>
            <w:right w:color="ffffff" w:space="0" w:sz="8" w:val="single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2D">
          <w:pPr>
            <w:widowControl w:val="0"/>
            <w:spacing w:after="0" w:line="240" w:lineRule="auto"/>
            <w:jc w:val="left"/>
            <w:rPr>
              <w:rFonts w:ascii="Proxima Nova" w:cs="Proxima Nova" w:eastAsia="Proxima Nova" w:hAnsi="Proxima Nova"/>
              <w:color w:val="b7b7b7"/>
              <w:sz w:val="14"/>
              <w:szCs w:val="14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E">
          <w:pPr>
            <w:widowControl w:val="0"/>
            <w:spacing w:after="0" w:line="276" w:lineRule="auto"/>
            <w:jc w:val="right"/>
            <w:rPr>
              <w:rFonts w:ascii="Poppins" w:cs="Poppins" w:eastAsia="Poppins" w:hAnsi="Poppins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F">
          <w:pPr>
            <w:spacing w:after="0" w:line="240" w:lineRule="auto"/>
            <w:ind w:left="-1410" w:firstLine="0"/>
            <w:jc w:val="right"/>
            <w:rPr>
              <w:rFonts w:ascii="Poppins" w:cs="Poppins" w:eastAsia="Poppins" w:hAnsi="Poppins"/>
              <w:sz w:val="16"/>
              <w:szCs w:val="16"/>
            </w:rPr>
          </w:pPr>
          <w:r w:rsidDel="00000000" w:rsidR="00000000" w:rsidRPr="00000000">
            <w:rPr/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30">
    <w:pPr>
      <w:spacing w:after="0" w:line="240" w:lineRule="auto"/>
      <w:ind w:left="-1410" w:firstLine="0"/>
      <w:jc w:val="lef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1">
    <w:pPr>
      <w:spacing w:after="0" w:line="240" w:lineRule="auto"/>
      <w:ind w:left="-1410" w:firstLine="0"/>
      <w:jc w:val="right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2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4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200" w:before="0" w:line="276" w:lineRule="auto"/>
      <w:ind w:left="0" w:right="0" w:firstLine="0"/>
      <w:jc w:val="both"/>
      <w:rPr>
        <w:rFonts w:ascii="Poppins Light" w:cs="Poppins Light" w:eastAsia="Poppins Light" w:hAnsi="Poppins Light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7">
    <w:pPr>
      <w:spacing w:after="0" w:line="276" w:lineRule="auto"/>
      <w:ind w:left="-566.9291338582677" w:firstLine="0"/>
      <w:jc w:val="right"/>
      <w:rPr>
        <w:rFonts w:ascii="Ubuntu" w:cs="Ubuntu" w:eastAsia="Ubuntu" w:hAnsi="Ubuntu"/>
        <w:sz w:val="22"/>
        <w:szCs w:val="22"/>
      </w:rPr>
    </w:pPr>
    <w:r w:rsidDel="00000000" w:rsidR="00000000" w:rsidRPr="00000000">
      <w:rPr>
        <w:rFonts w:ascii="Ubuntu" w:cs="Ubuntu" w:eastAsia="Ubuntu" w:hAnsi="Ubuntu"/>
        <w:sz w:val="22"/>
        <w:szCs w:val="22"/>
      </w:rPr>
      <w:drawing>
        <wp:inline distB="114300" distT="114300" distL="114300" distR="114300">
          <wp:extent cx="1261363" cy="397930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61363" cy="39793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8">
    <w:pPr>
      <w:spacing w:after="0" w:line="276" w:lineRule="auto"/>
      <w:ind w:left="-566.9291338582677" w:firstLine="0"/>
      <w:jc w:val="right"/>
      <w:rPr>
        <w:rFonts w:ascii="Ubuntu" w:cs="Ubuntu" w:eastAsia="Ubuntu" w:hAnsi="Ubuntu"/>
        <w:sz w:val="22"/>
        <w:szCs w:val="22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3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 Light" w:cs="Poppins Light" w:eastAsia="Poppins Light" w:hAnsi="Poppins Light"/>
        <w:lang w:val="fr-FR"/>
      </w:rPr>
    </w:rPrDefault>
    <w:pPrDefault>
      <w:pPr>
        <w:spacing w:line="276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after="40" w:before="300" w:lineRule="auto"/>
      <w:jc w:val="left"/>
    </w:pPr>
    <w:rPr>
      <w:color w:val="7030a0"/>
      <w:sz w:val="32"/>
      <w:szCs w:val="32"/>
    </w:rPr>
  </w:style>
  <w:style w:type="paragraph" w:styleId="Heading2">
    <w:name w:val="heading 2"/>
    <w:basedOn w:val="Normal"/>
    <w:next w:val="Normal"/>
    <w:pPr>
      <w:spacing w:after="80" w:before="240" w:lineRule="auto"/>
      <w:jc w:val="left"/>
    </w:pPr>
    <w:rPr>
      <w:sz w:val="32"/>
      <w:szCs w:val="32"/>
    </w:rPr>
  </w:style>
  <w:style w:type="paragraph" w:styleId="Heading3">
    <w:name w:val="heading 3"/>
    <w:basedOn w:val="Normal"/>
    <w:next w:val="Normal"/>
    <w:pPr>
      <w:spacing w:after="0" w:lineRule="auto"/>
      <w:jc w:val="left"/>
    </w:pPr>
    <w:rPr>
      <w:rFonts w:ascii="Poppins" w:cs="Poppins" w:eastAsia="Poppins" w:hAnsi="Poppins"/>
      <w:b w:val="1"/>
      <w:sz w:val="22"/>
      <w:szCs w:val="22"/>
    </w:rPr>
  </w:style>
  <w:style w:type="paragraph" w:styleId="Heading4">
    <w:name w:val="heading 4"/>
    <w:basedOn w:val="Normal"/>
    <w:next w:val="Normal"/>
    <w:pPr>
      <w:spacing w:after="0" w:before="240" w:lineRule="auto"/>
      <w:jc w:val="left"/>
    </w:pPr>
    <w:rPr>
      <w:sz w:val="22"/>
      <w:szCs w:val="22"/>
    </w:rPr>
  </w:style>
  <w:style w:type="paragraph" w:styleId="Heading5">
    <w:name w:val="heading 5"/>
    <w:basedOn w:val="Normal"/>
    <w:next w:val="Normal"/>
    <w:pPr/>
    <w:rPr>
      <w:color w:val="7030a0"/>
    </w:rPr>
  </w:style>
  <w:style w:type="paragraph" w:styleId="Heading6">
    <w:name w:val="heading 6"/>
    <w:basedOn w:val="Normal"/>
    <w:next w:val="Normal"/>
    <w:pPr>
      <w:spacing w:after="0" w:lineRule="auto"/>
      <w:jc w:val="left"/>
    </w:pPr>
    <w:rPr>
      <w:smallCaps w:val="1"/>
      <w:color w:val="5f259e"/>
      <w:sz w:val="22"/>
      <w:szCs w:val="22"/>
    </w:rPr>
  </w:style>
  <w:style w:type="paragraph" w:styleId="Title">
    <w:name w:val="Title"/>
    <w:basedOn w:val="Normal"/>
    <w:next w:val="Normal"/>
    <w:pPr>
      <w:pBdr>
        <w:top w:color="5f259e" w:space="1" w:sz="12" w:val="single"/>
      </w:pBdr>
      <w:spacing w:line="240" w:lineRule="auto"/>
      <w:jc w:val="left"/>
    </w:pPr>
    <w:rPr>
      <w:sz w:val="48"/>
      <w:szCs w:val="48"/>
    </w:rPr>
  </w:style>
  <w:style w:type="paragraph" w:styleId="Subtitle">
    <w:name w:val="Subtitle"/>
    <w:basedOn w:val="Normal"/>
    <w:next w:val="Normal"/>
    <w:pPr>
      <w:spacing w:after="720" w:line="240" w:lineRule="auto"/>
      <w:jc w:val="right"/>
    </w:pPr>
    <w:rPr>
      <w:rFonts w:ascii="Poppins Medium" w:cs="Poppins Medium" w:eastAsia="Poppins Medium" w:hAnsi="Poppins Medium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2" Type="http://schemas.openxmlformats.org/officeDocument/2006/relationships/footer" Target="foot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hyperlink" Target="https://www.lepida.net/bandi-gara-contratti" TargetMode="External"/><Relationship Id="rId7" Type="http://schemas.openxmlformats.org/officeDocument/2006/relationships/header" Target="header2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PoppinsMedium-boldItalic.ttf"/><Relationship Id="rId11" Type="http://schemas.openxmlformats.org/officeDocument/2006/relationships/font" Target="fonts/Poppins-italic.ttf"/><Relationship Id="rId10" Type="http://schemas.openxmlformats.org/officeDocument/2006/relationships/font" Target="fonts/Poppins-bold.ttf"/><Relationship Id="rId13" Type="http://schemas.openxmlformats.org/officeDocument/2006/relationships/font" Target="fonts/PoppinsLight-regular.ttf"/><Relationship Id="rId12" Type="http://schemas.openxmlformats.org/officeDocument/2006/relationships/font" Target="fonts/Poppins-boldItalic.ttf"/><Relationship Id="rId1" Type="http://schemas.openxmlformats.org/officeDocument/2006/relationships/font" Target="fonts/Ubuntu-regular.ttf"/><Relationship Id="rId2" Type="http://schemas.openxmlformats.org/officeDocument/2006/relationships/font" Target="fonts/Ubuntu-bold.ttf"/><Relationship Id="rId3" Type="http://schemas.openxmlformats.org/officeDocument/2006/relationships/font" Target="fonts/Ubuntu-italic.ttf"/><Relationship Id="rId4" Type="http://schemas.openxmlformats.org/officeDocument/2006/relationships/font" Target="fonts/Ubuntu-boldItalic.ttf"/><Relationship Id="rId9" Type="http://schemas.openxmlformats.org/officeDocument/2006/relationships/font" Target="fonts/Poppins-regular.ttf"/><Relationship Id="rId15" Type="http://schemas.openxmlformats.org/officeDocument/2006/relationships/font" Target="fonts/PoppinsLight-italic.ttf"/><Relationship Id="rId14" Type="http://schemas.openxmlformats.org/officeDocument/2006/relationships/font" Target="fonts/PoppinsLight-bold.ttf"/><Relationship Id="rId17" Type="http://schemas.openxmlformats.org/officeDocument/2006/relationships/font" Target="fonts/PoppinsMedium-regular.ttf"/><Relationship Id="rId16" Type="http://schemas.openxmlformats.org/officeDocument/2006/relationships/font" Target="fonts/PoppinsLight-boldItalic.ttf"/><Relationship Id="rId5" Type="http://schemas.openxmlformats.org/officeDocument/2006/relationships/font" Target="fonts/ProximaNova-regular.ttf"/><Relationship Id="rId19" Type="http://schemas.openxmlformats.org/officeDocument/2006/relationships/font" Target="fonts/PoppinsMedium-italic.ttf"/><Relationship Id="rId6" Type="http://schemas.openxmlformats.org/officeDocument/2006/relationships/font" Target="fonts/ProximaNova-bold.ttf"/><Relationship Id="rId18" Type="http://schemas.openxmlformats.org/officeDocument/2006/relationships/font" Target="fonts/PoppinsMedium-bold.ttf"/><Relationship Id="rId7" Type="http://schemas.openxmlformats.org/officeDocument/2006/relationships/font" Target="fonts/ProximaNova-italic.ttf"/><Relationship Id="rId8" Type="http://schemas.openxmlformats.org/officeDocument/2006/relationships/font" Target="fonts/ProximaNova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